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47677A" w14:textId="77777777" w:rsidR="00B2720C" w:rsidRDefault="00000000">
      <w:pPr>
        <w:rPr>
          <w:rFonts w:ascii="Tahoma" w:eastAsia="Tahoma" w:hAnsi="Tahoma" w:cs="Tahoma"/>
          <w:b/>
          <w:sz w:val="20"/>
          <w:szCs w:val="20"/>
        </w:rPr>
      </w:pPr>
      <w:r>
        <w:rPr>
          <w:rFonts w:ascii="Tahoma" w:eastAsia="Tahoma" w:hAnsi="Tahoma" w:cs="Tahoma"/>
          <w:b/>
          <w:sz w:val="20"/>
          <w:szCs w:val="20"/>
        </w:rPr>
        <w:t>For immediate distribution</w:t>
      </w:r>
    </w:p>
    <w:p w14:paraId="355979AE" w14:textId="77777777" w:rsidR="00B2720C" w:rsidRDefault="00B2720C">
      <w:pPr>
        <w:rPr>
          <w:rFonts w:ascii="Tahoma" w:eastAsia="Tahoma" w:hAnsi="Tahoma" w:cs="Tahoma"/>
          <w:b/>
          <w:sz w:val="20"/>
          <w:szCs w:val="20"/>
        </w:rPr>
      </w:pPr>
    </w:p>
    <w:p w14:paraId="449DD131" w14:textId="77777777" w:rsidR="00B2720C" w:rsidRDefault="00000000">
      <w:pPr>
        <w:jc w:val="center"/>
        <w:rPr>
          <w:rFonts w:ascii="Tahoma" w:eastAsia="Tahoma" w:hAnsi="Tahoma" w:cs="Tahoma"/>
          <w:b/>
          <w:sz w:val="20"/>
          <w:szCs w:val="20"/>
        </w:rPr>
      </w:pPr>
      <w:r>
        <w:rPr>
          <w:rFonts w:ascii="Tahoma" w:eastAsia="Tahoma" w:hAnsi="Tahoma" w:cs="Tahoma"/>
          <w:b/>
          <w:sz w:val="20"/>
          <w:szCs w:val="20"/>
        </w:rPr>
        <w:t>PRESS RELEASE</w:t>
      </w:r>
    </w:p>
    <w:p w14:paraId="756F1B7D" w14:textId="77777777" w:rsidR="00B2720C" w:rsidRDefault="00B2720C">
      <w:pPr>
        <w:jc w:val="center"/>
        <w:rPr>
          <w:rFonts w:ascii="Tahoma" w:eastAsia="Tahoma" w:hAnsi="Tahoma" w:cs="Tahoma"/>
          <w:b/>
          <w:sz w:val="20"/>
          <w:szCs w:val="20"/>
        </w:rPr>
      </w:pPr>
    </w:p>
    <w:p w14:paraId="427E90AF" w14:textId="77777777" w:rsidR="00B2720C" w:rsidRDefault="00000000">
      <w:pPr>
        <w:jc w:val="center"/>
        <w:rPr>
          <w:rFonts w:ascii="Tahoma" w:eastAsia="Tahoma" w:hAnsi="Tahoma" w:cs="Tahoma"/>
          <w:b/>
          <w:sz w:val="20"/>
          <w:szCs w:val="20"/>
        </w:rPr>
      </w:pPr>
      <w:r>
        <w:rPr>
          <w:rFonts w:ascii="Tahoma" w:eastAsia="Tahoma" w:hAnsi="Tahoma" w:cs="Tahoma"/>
          <w:b/>
          <w:sz w:val="20"/>
          <w:szCs w:val="20"/>
        </w:rPr>
        <w:t>Communities in Indonesia Unite to Rebuild Schools Devastated by Earthquake</w:t>
      </w:r>
    </w:p>
    <w:p w14:paraId="0C81503C" w14:textId="77777777" w:rsidR="00B2720C" w:rsidRDefault="00B2720C">
      <w:pPr>
        <w:rPr>
          <w:rFonts w:ascii="Tahoma" w:eastAsia="Tahoma" w:hAnsi="Tahoma" w:cs="Tahoma"/>
          <w:b/>
          <w:sz w:val="20"/>
          <w:szCs w:val="20"/>
        </w:rPr>
      </w:pPr>
    </w:p>
    <w:p w14:paraId="57EFCC49" w14:textId="77777777" w:rsidR="00B2720C" w:rsidRDefault="00000000">
      <w:pPr>
        <w:jc w:val="both"/>
        <w:rPr>
          <w:rFonts w:ascii="Tahoma" w:eastAsia="Tahoma" w:hAnsi="Tahoma" w:cs="Tahoma"/>
          <w:sz w:val="20"/>
          <w:szCs w:val="20"/>
        </w:rPr>
      </w:pPr>
      <w:r>
        <w:rPr>
          <w:rFonts w:ascii="Tahoma" w:eastAsia="Tahoma" w:hAnsi="Tahoma" w:cs="Tahoma"/>
          <w:b/>
          <w:sz w:val="20"/>
          <w:szCs w:val="20"/>
        </w:rPr>
        <w:t>Jakarta, 11 October 2024</w:t>
      </w:r>
      <w:r>
        <w:rPr>
          <w:rFonts w:ascii="Tahoma" w:eastAsia="Tahoma" w:hAnsi="Tahoma" w:cs="Tahoma"/>
          <w:sz w:val="20"/>
          <w:szCs w:val="20"/>
        </w:rPr>
        <w:t xml:space="preserve"> – In the wake of the devastating earthquake that struck </w:t>
      </w:r>
      <w:proofErr w:type="spellStart"/>
      <w:r>
        <w:rPr>
          <w:rFonts w:ascii="Tahoma" w:eastAsia="Tahoma" w:hAnsi="Tahoma" w:cs="Tahoma"/>
          <w:sz w:val="20"/>
          <w:szCs w:val="20"/>
        </w:rPr>
        <w:t>Garut</w:t>
      </w:r>
      <w:proofErr w:type="spellEnd"/>
      <w:r>
        <w:rPr>
          <w:rFonts w:ascii="Tahoma" w:eastAsia="Tahoma" w:hAnsi="Tahoma" w:cs="Tahoma"/>
          <w:sz w:val="20"/>
          <w:szCs w:val="20"/>
        </w:rPr>
        <w:t xml:space="preserve">, communities are uniting to rebuild two schools, SDN 3 </w:t>
      </w:r>
      <w:proofErr w:type="spellStart"/>
      <w:r>
        <w:rPr>
          <w:rFonts w:ascii="Tahoma" w:eastAsia="Tahoma" w:hAnsi="Tahoma" w:cs="Tahoma"/>
          <w:sz w:val="20"/>
          <w:szCs w:val="20"/>
        </w:rPr>
        <w:t>Barusari</w:t>
      </w:r>
      <w:proofErr w:type="spellEnd"/>
      <w:r>
        <w:rPr>
          <w:rFonts w:ascii="Tahoma" w:eastAsia="Tahoma" w:hAnsi="Tahoma" w:cs="Tahoma"/>
          <w:sz w:val="20"/>
          <w:szCs w:val="20"/>
        </w:rPr>
        <w:t xml:space="preserve"> and SDN 4 </w:t>
      </w:r>
      <w:proofErr w:type="spellStart"/>
      <w:r>
        <w:rPr>
          <w:rFonts w:ascii="Tahoma" w:eastAsia="Tahoma" w:hAnsi="Tahoma" w:cs="Tahoma"/>
          <w:sz w:val="20"/>
          <w:szCs w:val="20"/>
        </w:rPr>
        <w:t>Barusari</w:t>
      </w:r>
      <w:proofErr w:type="spellEnd"/>
      <w:r>
        <w:rPr>
          <w:rFonts w:ascii="Tahoma" w:eastAsia="Tahoma" w:hAnsi="Tahoma" w:cs="Tahoma"/>
          <w:sz w:val="20"/>
          <w:szCs w:val="20"/>
        </w:rPr>
        <w:t xml:space="preserve">, located in the </w:t>
      </w:r>
      <w:proofErr w:type="spellStart"/>
      <w:r>
        <w:rPr>
          <w:rFonts w:ascii="Tahoma" w:eastAsia="Tahoma" w:hAnsi="Tahoma" w:cs="Tahoma"/>
          <w:sz w:val="20"/>
          <w:szCs w:val="20"/>
        </w:rPr>
        <w:t>Pasirwangi</w:t>
      </w:r>
      <w:proofErr w:type="spellEnd"/>
      <w:r>
        <w:rPr>
          <w:rFonts w:ascii="Tahoma" w:eastAsia="Tahoma" w:hAnsi="Tahoma" w:cs="Tahoma"/>
          <w:sz w:val="20"/>
          <w:szCs w:val="20"/>
        </w:rPr>
        <w:t xml:space="preserve"> district, </w:t>
      </w:r>
      <w:proofErr w:type="spellStart"/>
      <w:r>
        <w:rPr>
          <w:rFonts w:ascii="Tahoma" w:eastAsia="Tahoma" w:hAnsi="Tahoma" w:cs="Tahoma"/>
          <w:sz w:val="20"/>
          <w:szCs w:val="20"/>
        </w:rPr>
        <w:t>Garut</w:t>
      </w:r>
      <w:proofErr w:type="spellEnd"/>
      <w:r>
        <w:rPr>
          <w:rFonts w:ascii="Tahoma" w:eastAsia="Tahoma" w:hAnsi="Tahoma" w:cs="Tahoma"/>
          <w:sz w:val="20"/>
          <w:szCs w:val="20"/>
        </w:rPr>
        <w:t xml:space="preserve"> Regency in West Java. This collaborative effort, led by Bakti Barito Foundation, Happy Hearts Indonesia, and </w:t>
      </w:r>
      <w:proofErr w:type="spellStart"/>
      <w:r>
        <w:rPr>
          <w:rFonts w:ascii="Tahoma" w:eastAsia="Tahoma" w:hAnsi="Tahoma" w:cs="Tahoma"/>
          <w:sz w:val="20"/>
          <w:szCs w:val="20"/>
        </w:rPr>
        <w:t>Kitabisa</w:t>
      </w:r>
      <w:proofErr w:type="spellEnd"/>
      <w:r>
        <w:rPr>
          <w:rFonts w:ascii="Tahoma" w:eastAsia="Tahoma" w:hAnsi="Tahoma" w:cs="Tahoma"/>
          <w:sz w:val="20"/>
          <w:szCs w:val="20"/>
        </w:rPr>
        <w:t>, aims to restore safe learning environments for a total of 220 students. The reconstruction is projected to be completed within two months, by the end of the year, ensuring that the students can return to their classrooms as soon as possible while fostering long-term community resilience.</w:t>
      </w:r>
    </w:p>
    <w:p w14:paraId="257CF918" w14:textId="77777777" w:rsidR="00B2720C" w:rsidRDefault="00B2720C">
      <w:pPr>
        <w:jc w:val="both"/>
        <w:rPr>
          <w:rFonts w:ascii="Tahoma" w:eastAsia="Tahoma" w:hAnsi="Tahoma" w:cs="Tahoma"/>
          <w:sz w:val="20"/>
          <w:szCs w:val="20"/>
        </w:rPr>
      </w:pPr>
    </w:p>
    <w:p w14:paraId="466CC8C3" w14:textId="77777777" w:rsidR="00B2720C" w:rsidRDefault="00000000">
      <w:pPr>
        <w:jc w:val="both"/>
        <w:rPr>
          <w:rFonts w:ascii="Tahoma" w:eastAsia="Tahoma" w:hAnsi="Tahoma" w:cs="Tahoma"/>
          <w:sz w:val="20"/>
          <w:szCs w:val="20"/>
        </w:rPr>
      </w:pPr>
      <w:r>
        <w:rPr>
          <w:rFonts w:ascii="Tahoma" w:eastAsia="Tahoma" w:hAnsi="Tahoma" w:cs="Tahoma"/>
          <w:sz w:val="20"/>
          <w:szCs w:val="20"/>
        </w:rPr>
        <w:t xml:space="preserve">The earthquake in </w:t>
      </w:r>
      <w:proofErr w:type="spellStart"/>
      <w:r>
        <w:rPr>
          <w:rFonts w:ascii="Tahoma" w:eastAsia="Tahoma" w:hAnsi="Tahoma" w:cs="Tahoma"/>
          <w:sz w:val="20"/>
          <w:szCs w:val="20"/>
        </w:rPr>
        <w:t>Garut</w:t>
      </w:r>
      <w:proofErr w:type="spellEnd"/>
      <w:r>
        <w:rPr>
          <w:rFonts w:ascii="Tahoma" w:eastAsia="Tahoma" w:hAnsi="Tahoma" w:cs="Tahoma"/>
          <w:sz w:val="20"/>
          <w:szCs w:val="20"/>
        </w:rPr>
        <w:t xml:space="preserve"> severely disrupted access to education, highlighting the urgent need for intervention. According to a 2023 study on the impact of earthquakes on education, students affected by disasters like the 2006 Java earthquake face significant setbacks, losing nearly a year of schooling on average and are 10-11% less likely to complete compulsory education.</w:t>
      </w:r>
      <w:r>
        <w:rPr>
          <w:rFonts w:ascii="Tahoma" w:eastAsia="Tahoma" w:hAnsi="Tahoma" w:cs="Tahoma"/>
          <w:sz w:val="20"/>
          <w:szCs w:val="20"/>
          <w:vertAlign w:val="superscript"/>
        </w:rPr>
        <w:footnoteReference w:id="1"/>
      </w:r>
      <w:r>
        <w:rPr>
          <w:rFonts w:ascii="Tahoma" w:eastAsia="Tahoma" w:hAnsi="Tahoma" w:cs="Tahoma"/>
          <w:sz w:val="20"/>
          <w:szCs w:val="20"/>
        </w:rPr>
        <w:t xml:space="preserve"> Immediate action is needed to prevent similar long-term educational deficits in </w:t>
      </w:r>
      <w:proofErr w:type="spellStart"/>
      <w:r>
        <w:rPr>
          <w:rFonts w:ascii="Tahoma" w:eastAsia="Tahoma" w:hAnsi="Tahoma" w:cs="Tahoma"/>
          <w:sz w:val="20"/>
          <w:szCs w:val="20"/>
        </w:rPr>
        <w:t>Garut</w:t>
      </w:r>
      <w:proofErr w:type="spellEnd"/>
      <w:r>
        <w:rPr>
          <w:rFonts w:ascii="Tahoma" w:eastAsia="Tahoma" w:hAnsi="Tahoma" w:cs="Tahoma"/>
          <w:sz w:val="20"/>
          <w:szCs w:val="20"/>
        </w:rPr>
        <w:t>.</w:t>
      </w:r>
    </w:p>
    <w:p w14:paraId="565EBFC6" w14:textId="77777777" w:rsidR="00B2720C" w:rsidRDefault="00B2720C">
      <w:pPr>
        <w:jc w:val="both"/>
        <w:rPr>
          <w:rFonts w:ascii="Tahoma" w:eastAsia="Tahoma" w:hAnsi="Tahoma" w:cs="Tahoma"/>
          <w:sz w:val="20"/>
          <w:szCs w:val="20"/>
        </w:rPr>
      </w:pPr>
    </w:p>
    <w:p w14:paraId="0BEFEE18" w14:textId="77777777" w:rsidR="00B2720C" w:rsidRDefault="00000000">
      <w:pPr>
        <w:jc w:val="both"/>
        <w:rPr>
          <w:rFonts w:ascii="Tahoma" w:eastAsia="Tahoma" w:hAnsi="Tahoma" w:cs="Tahoma"/>
          <w:sz w:val="20"/>
          <w:szCs w:val="20"/>
        </w:rPr>
      </w:pPr>
      <w:r>
        <w:rPr>
          <w:rFonts w:ascii="Tahoma" w:eastAsia="Tahoma" w:hAnsi="Tahoma" w:cs="Tahoma"/>
          <w:sz w:val="20"/>
          <w:szCs w:val="20"/>
        </w:rPr>
        <w:t xml:space="preserve">Bakti Barito Foundation, Happy Hearts Indonesia, and </w:t>
      </w:r>
      <w:proofErr w:type="spellStart"/>
      <w:r>
        <w:rPr>
          <w:rFonts w:ascii="Tahoma" w:eastAsia="Tahoma" w:hAnsi="Tahoma" w:cs="Tahoma"/>
          <w:sz w:val="20"/>
          <w:szCs w:val="20"/>
        </w:rPr>
        <w:t>Kitabisa</w:t>
      </w:r>
      <w:proofErr w:type="spellEnd"/>
      <w:r>
        <w:rPr>
          <w:rFonts w:ascii="Tahoma" w:eastAsia="Tahoma" w:hAnsi="Tahoma" w:cs="Tahoma"/>
          <w:sz w:val="20"/>
          <w:szCs w:val="20"/>
        </w:rPr>
        <w:t xml:space="preserve"> have collaborated on a campaign targeting Rp 1.4 billion to finance the reconstruction. The funding will ensure that the new schools will be built with earthquake-resilient building materials. This includes using approximately 9.4 tons of recycled plastic bricks, which will also reduce an estimated 22 tons of carbon emissions. Additionally, Bakti Barito Foundation is spearheading the </w:t>
      </w:r>
      <w:proofErr w:type="spellStart"/>
      <w:r>
        <w:rPr>
          <w:rFonts w:ascii="Tahoma" w:eastAsia="Tahoma" w:hAnsi="Tahoma" w:cs="Tahoma"/>
          <w:sz w:val="20"/>
          <w:szCs w:val="20"/>
        </w:rPr>
        <w:t>Kitabisa</w:t>
      </w:r>
      <w:proofErr w:type="spellEnd"/>
      <w:r>
        <w:rPr>
          <w:rFonts w:ascii="Tahoma" w:eastAsia="Tahoma" w:hAnsi="Tahoma" w:cs="Tahoma"/>
          <w:sz w:val="20"/>
          <w:szCs w:val="20"/>
        </w:rPr>
        <w:t xml:space="preserve"> digital activation campaign to raise public awareness and catalyze public participation in the rebuilding efforts.</w:t>
      </w:r>
    </w:p>
    <w:p w14:paraId="0E8DB60F" w14:textId="77777777" w:rsidR="00B2720C" w:rsidRDefault="00B2720C">
      <w:pPr>
        <w:jc w:val="both"/>
        <w:rPr>
          <w:rFonts w:ascii="Tahoma" w:eastAsia="Tahoma" w:hAnsi="Tahoma" w:cs="Tahoma"/>
          <w:sz w:val="20"/>
          <w:szCs w:val="20"/>
        </w:rPr>
      </w:pPr>
    </w:p>
    <w:p w14:paraId="6D8E1EC9" w14:textId="77777777" w:rsidR="00B2720C" w:rsidRDefault="00000000">
      <w:pPr>
        <w:jc w:val="both"/>
        <w:rPr>
          <w:rFonts w:ascii="Tahoma" w:eastAsia="Tahoma" w:hAnsi="Tahoma" w:cs="Tahoma"/>
          <w:sz w:val="20"/>
          <w:szCs w:val="20"/>
        </w:rPr>
      </w:pPr>
      <w:r>
        <w:rPr>
          <w:rFonts w:ascii="Tahoma" w:eastAsia="Tahoma" w:hAnsi="Tahoma" w:cs="Tahoma"/>
          <w:sz w:val="20"/>
          <w:szCs w:val="20"/>
        </w:rPr>
        <w:t xml:space="preserve">“This campaign shows the strength of community-driven efforts. By engaging Indonesians across the country and leveraging our platform, we aim to rebuild these schools with resilience and sustainability at the heart,” said Edo </w:t>
      </w:r>
      <w:proofErr w:type="spellStart"/>
      <w:r>
        <w:rPr>
          <w:rFonts w:ascii="Tahoma" w:eastAsia="Tahoma" w:hAnsi="Tahoma" w:cs="Tahoma"/>
          <w:sz w:val="20"/>
          <w:szCs w:val="20"/>
        </w:rPr>
        <w:t>Irfandi</w:t>
      </w:r>
      <w:proofErr w:type="spellEnd"/>
      <w:r>
        <w:rPr>
          <w:rFonts w:ascii="Tahoma" w:eastAsia="Tahoma" w:hAnsi="Tahoma" w:cs="Tahoma"/>
          <w:sz w:val="20"/>
          <w:szCs w:val="20"/>
        </w:rPr>
        <w:t>, Director of Kitabisa.org.</w:t>
      </w:r>
    </w:p>
    <w:p w14:paraId="003FEDD9" w14:textId="77777777" w:rsidR="00B2720C" w:rsidRDefault="00B2720C">
      <w:pPr>
        <w:jc w:val="both"/>
        <w:rPr>
          <w:rFonts w:ascii="Tahoma" w:eastAsia="Tahoma" w:hAnsi="Tahoma" w:cs="Tahoma"/>
          <w:sz w:val="20"/>
          <w:szCs w:val="20"/>
        </w:rPr>
      </w:pPr>
    </w:p>
    <w:p w14:paraId="2F9455CE" w14:textId="77777777" w:rsidR="00B2720C" w:rsidRDefault="00000000">
      <w:pPr>
        <w:jc w:val="both"/>
        <w:rPr>
          <w:rFonts w:ascii="Tahoma" w:eastAsia="Tahoma" w:hAnsi="Tahoma" w:cs="Tahoma"/>
          <w:sz w:val="20"/>
          <w:szCs w:val="20"/>
        </w:rPr>
      </w:pPr>
      <w:r>
        <w:rPr>
          <w:rFonts w:ascii="Tahoma" w:eastAsia="Tahoma" w:hAnsi="Tahoma" w:cs="Tahoma"/>
          <w:sz w:val="20"/>
          <w:szCs w:val="20"/>
        </w:rPr>
        <w:t xml:space="preserve">"Our priority is to quickly restore safe learning environments for students," said Fifi </w:t>
      </w:r>
      <w:proofErr w:type="spellStart"/>
      <w:r>
        <w:rPr>
          <w:rFonts w:ascii="Tahoma" w:eastAsia="Tahoma" w:hAnsi="Tahoma" w:cs="Tahoma"/>
          <w:sz w:val="20"/>
          <w:szCs w:val="20"/>
        </w:rPr>
        <w:t>Pangestu</w:t>
      </w:r>
      <w:proofErr w:type="spellEnd"/>
      <w:r>
        <w:rPr>
          <w:rFonts w:ascii="Tahoma" w:eastAsia="Tahoma" w:hAnsi="Tahoma" w:cs="Tahoma"/>
          <w:sz w:val="20"/>
          <w:szCs w:val="20"/>
        </w:rPr>
        <w:t xml:space="preserve">, Executive Director of Bakti Barito Foundation. "Inspired by the vision of our founder, </w:t>
      </w:r>
      <w:proofErr w:type="spellStart"/>
      <w:r>
        <w:rPr>
          <w:rFonts w:ascii="Tahoma" w:eastAsia="Tahoma" w:hAnsi="Tahoma" w:cs="Tahoma"/>
          <w:sz w:val="20"/>
          <w:szCs w:val="20"/>
        </w:rPr>
        <w:t>Prajogo</w:t>
      </w:r>
      <w:proofErr w:type="spellEnd"/>
      <w:r>
        <w:rPr>
          <w:rFonts w:ascii="Tahoma" w:eastAsia="Tahoma" w:hAnsi="Tahoma" w:cs="Tahoma"/>
          <w:sz w:val="20"/>
          <w:szCs w:val="20"/>
        </w:rPr>
        <w:t xml:space="preserve"> </w:t>
      </w:r>
      <w:proofErr w:type="spellStart"/>
      <w:r>
        <w:rPr>
          <w:rFonts w:ascii="Tahoma" w:eastAsia="Tahoma" w:hAnsi="Tahoma" w:cs="Tahoma"/>
          <w:sz w:val="20"/>
          <w:szCs w:val="20"/>
        </w:rPr>
        <w:t>Pangestu</w:t>
      </w:r>
      <w:proofErr w:type="spellEnd"/>
      <w:r>
        <w:rPr>
          <w:rFonts w:ascii="Tahoma" w:eastAsia="Tahoma" w:hAnsi="Tahoma" w:cs="Tahoma"/>
          <w:sz w:val="20"/>
          <w:szCs w:val="20"/>
        </w:rPr>
        <w:t xml:space="preserve">, we believe education is key to building resilient communities. Rebuilding these schools with earthquake-resilient materials ensures both immediate recovery and long-term stability for </w:t>
      </w:r>
      <w:proofErr w:type="spellStart"/>
      <w:r>
        <w:rPr>
          <w:rFonts w:ascii="Tahoma" w:eastAsia="Tahoma" w:hAnsi="Tahoma" w:cs="Tahoma"/>
          <w:sz w:val="20"/>
          <w:szCs w:val="20"/>
        </w:rPr>
        <w:t>Garut’s</w:t>
      </w:r>
      <w:proofErr w:type="spellEnd"/>
      <w:r>
        <w:rPr>
          <w:rFonts w:ascii="Tahoma" w:eastAsia="Tahoma" w:hAnsi="Tahoma" w:cs="Tahoma"/>
          <w:sz w:val="20"/>
          <w:szCs w:val="20"/>
        </w:rPr>
        <w:t xml:space="preserve"> children."</w:t>
      </w:r>
    </w:p>
    <w:p w14:paraId="68AC8D9C" w14:textId="77777777" w:rsidR="00B2720C" w:rsidRDefault="00B2720C">
      <w:pPr>
        <w:jc w:val="both"/>
        <w:rPr>
          <w:rFonts w:ascii="Tahoma" w:eastAsia="Tahoma" w:hAnsi="Tahoma" w:cs="Tahoma"/>
          <w:sz w:val="20"/>
          <w:szCs w:val="20"/>
        </w:rPr>
      </w:pPr>
    </w:p>
    <w:p w14:paraId="3EC196BA" w14:textId="77777777" w:rsidR="00B2720C" w:rsidRDefault="00000000">
      <w:pPr>
        <w:jc w:val="both"/>
        <w:rPr>
          <w:rFonts w:ascii="Tahoma" w:eastAsia="Tahoma" w:hAnsi="Tahoma" w:cs="Tahoma"/>
          <w:sz w:val="20"/>
          <w:szCs w:val="20"/>
        </w:rPr>
      </w:pPr>
      <w:r>
        <w:rPr>
          <w:rFonts w:ascii="Tahoma" w:eastAsia="Tahoma" w:hAnsi="Tahoma" w:cs="Tahoma"/>
          <w:sz w:val="20"/>
          <w:szCs w:val="20"/>
        </w:rPr>
        <w:t>"</w:t>
      </w:r>
      <w:r>
        <w:rPr>
          <w:rFonts w:ascii="Tahoma" w:eastAsia="Tahoma" w:hAnsi="Tahoma" w:cs="Tahoma"/>
          <w:sz w:val="20"/>
          <w:szCs w:val="20"/>
          <w:highlight w:val="white"/>
        </w:rPr>
        <w:t xml:space="preserve">Our focus is on delivering long-term impact through innovation and sustainability. By using recycled plastic bricks, </w:t>
      </w:r>
      <w:proofErr w:type="gramStart"/>
      <w:r>
        <w:rPr>
          <w:rFonts w:ascii="Tahoma" w:eastAsia="Tahoma" w:hAnsi="Tahoma" w:cs="Tahoma"/>
          <w:sz w:val="20"/>
          <w:szCs w:val="20"/>
          <w:highlight w:val="white"/>
        </w:rPr>
        <w:t>we’re</w:t>
      </w:r>
      <w:proofErr w:type="gramEnd"/>
      <w:r>
        <w:rPr>
          <w:rFonts w:ascii="Tahoma" w:eastAsia="Tahoma" w:hAnsi="Tahoma" w:cs="Tahoma"/>
          <w:sz w:val="20"/>
          <w:szCs w:val="20"/>
          <w:highlight w:val="white"/>
        </w:rPr>
        <w:t xml:space="preserve"> rebuilding better and setting a benchmark for future disaster recovery efforts. This Block School contributes to 11 out of 17 Sustainable Development Goals (SDGs), ensuring a brighter and more resilient future for communities</w:t>
      </w:r>
      <w:r>
        <w:rPr>
          <w:rFonts w:ascii="Tahoma" w:eastAsia="Tahoma" w:hAnsi="Tahoma" w:cs="Tahoma"/>
          <w:sz w:val="20"/>
          <w:szCs w:val="20"/>
        </w:rPr>
        <w:t xml:space="preserve">," said Sylvia </w:t>
      </w:r>
      <w:proofErr w:type="spellStart"/>
      <w:r>
        <w:rPr>
          <w:rFonts w:ascii="Tahoma" w:eastAsia="Tahoma" w:hAnsi="Tahoma" w:cs="Tahoma"/>
          <w:sz w:val="20"/>
          <w:szCs w:val="20"/>
        </w:rPr>
        <w:t>Beiwinkler</w:t>
      </w:r>
      <w:proofErr w:type="spellEnd"/>
      <w:r>
        <w:rPr>
          <w:rFonts w:ascii="Tahoma" w:eastAsia="Tahoma" w:hAnsi="Tahoma" w:cs="Tahoma"/>
          <w:sz w:val="20"/>
          <w:szCs w:val="20"/>
        </w:rPr>
        <w:t>, CEO of Happy Hearts Indonesia.</w:t>
      </w:r>
    </w:p>
    <w:p w14:paraId="23C03D7B" w14:textId="77777777" w:rsidR="00B2720C" w:rsidRDefault="00B2720C">
      <w:pPr>
        <w:jc w:val="both"/>
        <w:rPr>
          <w:rFonts w:ascii="Tahoma" w:eastAsia="Tahoma" w:hAnsi="Tahoma" w:cs="Tahoma"/>
          <w:sz w:val="20"/>
          <w:szCs w:val="20"/>
        </w:rPr>
      </w:pPr>
    </w:p>
    <w:p w14:paraId="21035E58" w14:textId="77777777" w:rsidR="00B2720C" w:rsidRDefault="00000000">
      <w:pPr>
        <w:jc w:val="both"/>
        <w:rPr>
          <w:rFonts w:ascii="Tahoma" w:eastAsia="Tahoma" w:hAnsi="Tahoma" w:cs="Tahoma"/>
          <w:sz w:val="20"/>
          <w:szCs w:val="20"/>
        </w:rPr>
      </w:pPr>
      <w:r>
        <w:rPr>
          <w:rFonts w:ascii="Tahoma" w:eastAsia="Tahoma" w:hAnsi="Tahoma" w:cs="Tahoma"/>
          <w:sz w:val="20"/>
          <w:szCs w:val="20"/>
        </w:rPr>
        <w:t>Key highlights:</w:t>
      </w:r>
    </w:p>
    <w:p w14:paraId="19471476" w14:textId="77777777" w:rsidR="00B2720C" w:rsidRDefault="00B2720C">
      <w:pPr>
        <w:jc w:val="both"/>
        <w:rPr>
          <w:rFonts w:ascii="Tahoma" w:eastAsia="Tahoma" w:hAnsi="Tahoma" w:cs="Tahoma"/>
          <w:sz w:val="20"/>
          <w:szCs w:val="20"/>
        </w:rPr>
      </w:pPr>
    </w:p>
    <w:p w14:paraId="56E8B913" w14:textId="77777777" w:rsidR="00B2720C" w:rsidRDefault="00000000">
      <w:pPr>
        <w:numPr>
          <w:ilvl w:val="0"/>
          <w:numId w:val="2"/>
        </w:numPr>
        <w:spacing w:after="200"/>
        <w:jc w:val="both"/>
        <w:rPr>
          <w:rFonts w:ascii="Tahoma" w:eastAsia="Tahoma" w:hAnsi="Tahoma" w:cs="Tahoma"/>
          <w:sz w:val="20"/>
          <w:szCs w:val="20"/>
        </w:rPr>
      </w:pPr>
      <w:r>
        <w:rPr>
          <w:rFonts w:ascii="Tahoma" w:eastAsia="Tahoma" w:hAnsi="Tahoma" w:cs="Tahoma"/>
          <w:b/>
          <w:sz w:val="20"/>
          <w:szCs w:val="20"/>
        </w:rPr>
        <w:t>Sustainable Construction</w:t>
      </w:r>
      <w:r>
        <w:rPr>
          <w:rFonts w:ascii="Tahoma" w:eastAsia="Tahoma" w:hAnsi="Tahoma" w:cs="Tahoma"/>
          <w:sz w:val="20"/>
          <w:szCs w:val="20"/>
        </w:rPr>
        <w:t>: Happy Hearts Indonesia will oversee the reconstruction using innovative recycled plastic bricks. These eco-friendly materials not only align with sustainability goals but also provide durable structures better equipped to withstand future disasters.</w:t>
      </w:r>
    </w:p>
    <w:p w14:paraId="3910EF4F" w14:textId="77777777" w:rsidR="00B2720C" w:rsidRDefault="00000000">
      <w:pPr>
        <w:numPr>
          <w:ilvl w:val="0"/>
          <w:numId w:val="2"/>
        </w:numPr>
        <w:spacing w:after="200"/>
        <w:jc w:val="both"/>
        <w:rPr>
          <w:rFonts w:ascii="Tahoma" w:eastAsia="Tahoma" w:hAnsi="Tahoma" w:cs="Tahoma"/>
          <w:sz w:val="20"/>
          <w:szCs w:val="20"/>
        </w:rPr>
      </w:pPr>
      <w:r>
        <w:rPr>
          <w:rFonts w:ascii="Tahoma" w:eastAsia="Tahoma" w:hAnsi="Tahoma" w:cs="Tahoma"/>
          <w:b/>
          <w:sz w:val="20"/>
          <w:szCs w:val="20"/>
        </w:rPr>
        <w:t>Community Engagement and Fundraising</w:t>
      </w:r>
      <w:r>
        <w:rPr>
          <w:rFonts w:ascii="Tahoma" w:eastAsia="Tahoma" w:hAnsi="Tahoma" w:cs="Tahoma"/>
          <w:sz w:val="20"/>
          <w:szCs w:val="20"/>
        </w:rPr>
        <w:t xml:space="preserve">: </w:t>
      </w:r>
      <w:proofErr w:type="spellStart"/>
      <w:r>
        <w:rPr>
          <w:rFonts w:ascii="Tahoma" w:eastAsia="Tahoma" w:hAnsi="Tahoma" w:cs="Tahoma"/>
          <w:sz w:val="20"/>
          <w:szCs w:val="20"/>
        </w:rPr>
        <w:t>Kitabisa’s</w:t>
      </w:r>
      <w:proofErr w:type="spellEnd"/>
      <w:r>
        <w:rPr>
          <w:rFonts w:ascii="Tahoma" w:eastAsia="Tahoma" w:hAnsi="Tahoma" w:cs="Tahoma"/>
          <w:sz w:val="20"/>
          <w:szCs w:val="20"/>
        </w:rPr>
        <w:t xml:space="preserve"> platform drives the fundraising campaign through digital content and activations, engaging communities across Indonesia. Contributions raised will be matched by Bakti Barito Foundation, amplifying the collective impact.</w:t>
      </w:r>
    </w:p>
    <w:p w14:paraId="59B988A2" w14:textId="77777777" w:rsidR="00B2720C" w:rsidRDefault="00000000">
      <w:pPr>
        <w:numPr>
          <w:ilvl w:val="0"/>
          <w:numId w:val="2"/>
        </w:numPr>
        <w:spacing w:after="200"/>
        <w:jc w:val="both"/>
        <w:rPr>
          <w:rFonts w:ascii="Tahoma" w:eastAsia="Tahoma" w:hAnsi="Tahoma" w:cs="Tahoma"/>
          <w:sz w:val="20"/>
          <w:szCs w:val="20"/>
        </w:rPr>
      </w:pPr>
      <w:r>
        <w:rPr>
          <w:rFonts w:ascii="Tahoma" w:eastAsia="Tahoma" w:hAnsi="Tahoma" w:cs="Tahoma"/>
          <w:b/>
          <w:sz w:val="20"/>
          <w:szCs w:val="20"/>
        </w:rPr>
        <w:t>Teacher Training for Climate Education</w:t>
      </w:r>
      <w:r>
        <w:rPr>
          <w:rFonts w:ascii="Tahoma" w:eastAsia="Tahoma" w:hAnsi="Tahoma" w:cs="Tahoma"/>
          <w:sz w:val="20"/>
          <w:szCs w:val="20"/>
        </w:rPr>
        <w:t>:  Through the Green Guardians program, Bakti Barito Foundation will lead training sessions for local teachers once the schools are rebuilt. These sessions aim to integrate climate education into the curriculum, equipping students with the knowledge and tools to become proactive environmental stewards, ensuring long-term impact.</w:t>
      </w:r>
    </w:p>
    <w:p w14:paraId="3DBB8E03" w14:textId="77777777" w:rsidR="00B2720C" w:rsidRDefault="00000000">
      <w:pPr>
        <w:jc w:val="both"/>
        <w:rPr>
          <w:rFonts w:ascii="Tahoma" w:eastAsia="Tahoma" w:hAnsi="Tahoma" w:cs="Tahoma"/>
          <w:sz w:val="20"/>
          <w:szCs w:val="20"/>
        </w:rPr>
      </w:pPr>
      <w:r>
        <w:rPr>
          <w:rFonts w:ascii="Tahoma" w:eastAsia="Tahoma" w:hAnsi="Tahoma" w:cs="Tahoma"/>
          <w:sz w:val="20"/>
          <w:szCs w:val="20"/>
        </w:rPr>
        <w:t>The project has garnered significant attention and will involve local volunteers during the rebuilding process. This collective effort aims to inspire others to join in and contribute to a more resilient and sustainable future.</w:t>
      </w:r>
    </w:p>
    <w:p w14:paraId="5F43D6CA" w14:textId="77777777" w:rsidR="00B2720C" w:rsidRDefault="00B2720C">
      <w:pPr>
        <w:jc w:val="both"/>
        <w:rPr>
          <w:rFonts w:ascii="Tahoma" w:eastAsia="Tahoma" w:hAnsi="Tahoma" w:cs="Tahoma"/>
          <w:b/>
          <w:sz w:val="20"/>
          <w:szCs w:val="20"/>
        </w:rPr>
      </w:pPr>
    </w:p>
    <w:p w14:paraId="4893EB15" w14:textId="77777777" w:rsidR="00B2720C" w:rsidRDefault="00000000">
      <w:pPr>
        <w:jc w:val="both"/>
        <w:rPr>
          <w:rFonts w:ascii="Tahoma" w:eastAsia="Tahoma" w:hAnsi="Tahoma" w:cs="Tahoma"/>
          <w:sz w:val="20"/>
          <w:szCs w:val="20"/>
        </w:rPr>
      </w:pPr>
      <w:r>
        <w:rPr>
          <w:rFonts w:ascii="Tahoma" w:eastAsia="Tahoma" w:hAnsi="Tahoma" w:cs="Tahoma"/>
          <w:sz w:val="20"/>
          <w:szCs w:val="20"/>
        </w:rPr>
        <w:t xml:space="preserve">For more information on how to support this initiative, visit </w:t>
      </w:r>
      <w:hyperlink r:id="rId7">
        <w:r>
          <w:rPr>
            <w:rFonts w:ascii="Tahoma" w:eastAsia="Tahoma" w:hAnsi="Tahoma" w:cs="Tahoma"/>
            <w:color w:val="1155CC"/>
            <w:sz w:val="20"/>
            <w:szCs w:val="20"/>
            <w:u w:val="single"/>
          </w:rPr>
          <w:t>Kitabisa.com/</w:t>
        </w:r>
        <w:proofErr w:type="spellStart"/>
        <w:r>
          <w:rPr>
            <w:rFonts w:ascii="Tahoma" w:eastAsia="Tahoma" w:hAnsi="Tahoma" w:cs="Tahoma"/>
            <w:color w:val="1155CC"/>
            <w:sz w:val="20"/>
            <w:szCs w:val="20"/>
            <w:u w:val="single"/>
          </w:rPr>
          <w:t>bangunsekolahhijau</w:t>
        </w:r>
        <w:proofErr w:type="spellEnd"/>
      </w:hyperlink>
    </w:p>
    <w:p w14:paraId="6DAE6D73" w14:textId="77777777" w:rsidR="00B2720C" w:rsidRDefault="00B2720C">
      <w:pPr>
        <w:jc w:val="both"/>
        <w:rPr>
          <w:rFonts w:ascii="Tahoma" w:eastAsia="Tahoma" w:hAnsi="Tahoma" w:cs="Tahoma"/>
          <w:sz w:val="20"/>
          <w:szCs w:val="20"/>
        </w:rPr>
      </w:pPr>
    </w:p>
    <w:p w14:paraId="57A9D966" w14:textId="77777777" w:rsidR="00B2720C" w:rsidRDefault="00000000">
      <w:pPr>
        <w:jc w:val="both"/>
        <w:rPr>
          <w:rFonts w:ascii="Tahoma" w:eastAsia="Tahoma" w:hAnsi="Tahoma" w:cs="Tahoma"/>
          <w:b/>
          <w:sz w:val="20"/>
          <w:szCs w:val="20"/>
        </w:rPr>
      </w:pPr>
      <w:r>
        <w:rPr>
          <w:rFonts w:ascii="Tahoma" w:eastAsia="Tahoma" w:hAnsi="Tahoma" w:cs="Tahoma"/>
          <w:b/>
          <w:sz w:val="20"/>
          <w:szCs w:val="20"/>
        </w:rPr>
        <w:t>About Kitabisa.org</w:t>
      </w:r>
    </w:p>
    <w:p w14:paraId="2A060B60" w14:textId="77777777" w:rsidR="00B2720C" w:rsidRDefault="00B2720C">
      <w:pPr>
        <w:jc w:val="both"/>
        <w:rPr>
          <w:rFonts w:ascii="Tahoma" w:eastAsia="Tahoma" w:hAnsi="Tahoma" w:cs="Tahoma"/>
          <w:b/>
          <w:sz w:val="20"/>
          <w:szCs w:val="20"/>
        </w:rPr>
      </w:pPr>
    </w:p>
    <w:p w14:paraId="44EF3C3D" w14:textId="77777777" w:rsidR="00B2720C" w:rsidRDefault="00000000">
      <w:pPr>
        <w:jc w:val="both"/>
        <w:rPr>
          <w:rFonts w:ascii="Tahoma" w:eastAsia="Tahoma" w:hAnsi="Tahoma" w:cs="Tahoma"/>
          <w:sz w:val="20"/>
          <w:szCs w:val="20"/>
        </w:rPr>
      </w:pPr>
      <w:r>
        <w:rPr>
          <w:rFonts w:ascii="Tahoma" w:eastAsia="Tahoma" w:hAnsi="Tahoma" w:cs="Tahoma"/>
          <w:sz w:val="20"/>
          <w:szCs w:val="20"/>
        </w:rPr>
        <w:t xml:space="preserve">Kitabisa.org is an end-to-end consultant by </w:t>
      </w:r>
      <w:proofErr w:type="spellStart"/>
      <w:r>
        <w:rPr>
          <w:rFonts w:ascii="Tahoma" w:eastAsia="Tahoma" w:hAnsi="Tahoma" w:cs="Tahoma"/>
          <w:sz w:val="20"/>
          <w:szCs w:val="20"/>
        </w:rPr>
        <w:t>Kitabisa</w:t>
      </w:r>
      <w:proofErr w:type="spellEnd"/>
      <w:r>
        <w:rPr>
          <w:rFonts w:ascii="Tahoma" w:eastAsia="Tahoma" w:hAnsi="Tahoma" w:cs="Tahoma"/>
          <w:sz w:val="20"/>
          <w:szCs w:val="20"/>
        </w:rPr>
        <w:t xml:space="preserve"> for corporations, brands, and institutions. We helped to plan, implement, and track the impact of the CSR program in line with ESGs and ESG Framework. Through an integrated approach, all CSR initiatives will make fundamental contributions to society and the environment </w:t>
      </w:r>
      <w:proofErr w:type="gramStart"/>
      <w:r>
        <w:rPr>
          <w:rFonts w:ascii="Tahoma" w:eastAsia="Tahoma" w:hAnsi="Tahoma" w:cs="Tahoma"/>
          <w:sz w:val="20"/>
          <w:szCs w:val="20"/>
        </w:rPr>
        <w:t>and also</w:t>
      </w:r>
      <w:proofErr w:type="gramEnd"/>
      <w:r>
        <w:rPr>
          <w:rFonts w:ascii="Tahoma" w:eastAsia="Tahoma" w:hAnsi="Tahoma" w:cs="Tahoma"/>
          <w:sz w:val="20"/>
          <w:szCs w:val="20"/>
        </w:rPr>
        <w:t xml:space="preserve"> fulfill social responsibility for corporations. Visit: </w:t>
      </w:r>
      <w:hyperlink r:id="rId8">
        <w:r>
          <w:rPr>
            <w:rFonts w:ascii="Tahoma" w:eastAsia="Tahoma" w:hAnsi="Tahoma" w:cs="Tahoma"/>
            <w:color w:val="1155CC"/>
            <w:sz w:val="20"/>
            <w:szCs w:val="20"/>
            <w:u w:val="single"/>
          </w:rPr>
          <w:t>https://www.kitabisa.org/</w:t>
        </w:r>
      </w:hyperlink>
      <w:r>
        <w:rPr>
          <w:rFonts w:ascii="Tahoma" w:eastAsia="Tahoma" w:hAnsi="Tahoma" w:cs="Tahoma"/>
          <w:sz w:val="20"/>
          <w:szCs w:val="20"/>
        </w:rPr>
        <w:t xml:space="preserve"> </w:t>
      </w:r>
    </w:p>
    <w:p w14:paraId="28E6CC40" w14:textId="77777777" w:rsidR="00B2720C" w:rsidRDefault="00B2720C">
      <w:pPr>
        <w:jc w:val="both"/>
        <w:rPr>
          <w:rFonts w:ascii="Tahoma" w:eastAsia="Tahoma" w:hAnsi="Tahoma" w:cs="Tahoma"/>
          <w:sz w:val="20"/>
          <w:szCs w:val="20"/>
        </w:rPr>
      </w:pPr>
    </w:p>
    <w:p w14:paraId="39366FCB" w14:textId="77777777" w:rsidR="00B2720C" w:rsidRDefault="00000000">
      <w:pPr>
        <w:jc w:val="both"/>
        <w:rPr>
          <w:rFonts w:ascii="Tahoma" w:eastAsia="Tahoma" w:hAnsi="Tahoma" w:cs="Tahoma"/>
          <w:b/>
          <w:sz w:val="20"/>
          <w:szCs w:val="20"/>
        </w:rPr>
      </w:pPr>
      <w:r>
        <w:rPr>
          <w:rFonts w:ascii="Tahoma" w:eastAsia="Tahoma" w:hAnsi="Tahoma" w:cs="Tahoma"/>
          <w:b/>
          <w:sz w:val="20"/>
          <w:szCs w:val="20"/>
        </w:rPr>
        <w:t>About Happy Hearts Indonesia</w:t>
      </w:r>
    </w:p>
    <w:p w14:paraId="786B8F97" w14:textId="77777777" w:rsidR="00B2720C" w:rsidRDefault="00B2720C">
      <w:pPr>
        <w:jc w:val="both"/>
        <w:rPr>
          <w:rFonts w:ascii="Tahoma" w:eastAsia="Tahoma" w:hAnsi="Tahoma" w:cs="Tahoma"/>
          <w:b/>
          <w:sz w:val="20"/>
          <w:szCs w:val="20"/>
        </w:rPr>
      </w:pPr>
    </w:p>
    <w:p w14:paraId="517093AF" w14:textId="77777777" w:rsidR="00B2720C" w:rsidRDefault="00000000">
      <w:pPr>
        <w:jc w:val="both"/>
        <w:rPr>
          <w:rFonts w:ascii="Tahoma" w:eastAsia="Tahoma" w:hAnsi="Tahoma" w:cs="Tahoma"/>
          <w:sz w:val="20"/>
          <w:szCs w:val="20"/>
        </w:rPr>
      </w:pPr>
      <w:r>
        <w:rPr>
          <w:rFonts w:ascii="Tahoma" w:eastAsia="Tahoma" w:hAnsi="Tahoma" w:cs="Tahoma"/>
          <w:sz w:val="20"/>
          <w:szCs w:val="20"/>
        </w:rPr>
        <w:t xml:space="preserve">Happy Hearts Indonesia (HHI) is a non-profit organization dedicated to improving the education level of Indonesian children, particularly in disadvantaged areas. By focusing on education and sustainable development, Happy Hearts Indonesia endeavors to create sustainable positive change for </w:t>
      </w:r>
      <w:proofErr w:type="gramStart"/>
      <w:r>
        <w:rPr>
          <w:rFonts w:ascii="Tahoma" w:eastAsia="Tahoma" w:hAnsi="Tahoma" w:cs="Tahoma"/>
          <w:sz w:val="20"/>
          <w:szCs w:val="20"/>
        </w:rPr>
        <w:t>all of</w:t>
      </w:r>
      <w:proofErr w:type="gramEnd"/>
      <w:r>
        <w:rPr>
          <w:rFonts w:ascii="Tahoma" w:eastAsia="Tahoma" w:hAnsi="Tahoma" w:cs="Tahoma"/>
          <w:sz w:val="20"/>
          <w:szCs w:val="20"/>
        </w:rPr>
        <w:t xml:space="preserve"> Indonesian society.</w:t>
      </w:r>
    </w:p>
    <w:p w14:paraId="66DE75EA" w14:textId="77777777" w:rsidR="00B2720C" w:rsidRDefault="00B2720C">
      <w:pPr>
        <w:jc w:val="both"/>
        <w:rPr>
          <w:rFonts w:ascii="Tahoma" w:eastAsia="Tahoma" w:hAnsi="Tahoma" w:cs="Tahoma"/>
          <w:sz w:val="20"/>
          <w:szCs w:val="20"/>
        </w:rPr>
      </w:pPr>
    </w:p>
    <w:p w14:paraId="7F5E8DF0" w14:textId="77777777" w:rsidR="00B2720C" w:rsidRDefault="00000000">
      <w:pPr>
        <w:jc w:val="both"/>
        <w:rPr>
          <w:rFonts w:ascii="Tahoma" w:eastAsia="Tahoma" w:hAnsi="Tahoma" w:cs="Tahoma"/>
          <w:sz w:val="20"/>
          <w:szCs w:val="20"/>
          <w:highlight w:val="yellow"/>
        </w:rPr>
      </w:pPr>
      <w:r>
        <w:rPr>
          <w:rFonts w:ascii="Tahoma" w:eastAsia="Tahoma" w:hAnsi="Tahoma" w:cs="Tahoma"/>
          <w:sz w:val="20"/>
          <w:szCs w:val="20"/>
        </w:rPr>
        <w:t xml:space="preserve">Happy Hearts Indonesia has built more than 355 schools, providing education and support to over 97,000 children. HHI is registered with the Ministry of Law and Human Rights as the Indonesian Happy Hearts Foundation, with the registration number 014.31.73.07.1002.012. </w:t>
      </w:r>
    </w:p>
    <w:p w14:paraId="69781AA9" w14:textId="77777777" w:rsidR="00B2720C" w:rsidRDefault="00B2720C">
      <w:pPr>
        <w:jc w:val="both"/>
        <w:rPr>
          <w:rFonts w:ascii="Tahoma" w:eastAsia="Tahoma" w:hAnsi="Tahoma" w:cs="Tahoma"/>
          <w:sz w:val="20"/>
          <w:szCs w:val="20"/>
        </w:rPr>
      </w:pPr>
    </w:p>
    <w:p w14:paraId="3FA3A394" w14:textId="77777777" w:rsidR="00B2720C" w:rsidRDefault="00000000">
      <w:pPr>
        <w:jc w:val="both"/>
        <w:rPr>
          <w:rFonts w:ascii="Tahoma" w:eastAsia="Tahoma" w:hAnsi="Tahoma" w:cs="Tahoma"/>
          <w:b/>
          <w:sz w:val="20"/>
          <w:szCs w:val="20"/>
        </w:rPr>
      </w:pPr>
      <w:r>
        <w:rPr>
          <w:rFonts w:ascii="Tahoma" w:eastAsia="Tahoma" w:hAnsi="Tahoma" w:cs="Tahoma"/>
          <w:b/>
          <w:sz w:val="20"/>
          <w:szCs w:val="20"/>
        </w:rPr>
        <w:t>About Bakti Barito Foundation</w:t>
      </w:r>
    </w:p>
    <w:p w14:paraId="03C74AF9" w14:textId="77777777" w:rsidR="00B2720C" w:rsidRDefault="00B2720C">
      <w:pPr>
        <w:rPr>
          <w:rFonts w:ascii="Tahoma" w:eastAsia="Tahoma" w:hAnsi="Tahoma" w:cs="Tahoma"/>
          <w:sz w:val="20"/>
          <w:szCs w:val="20"/>
        </w:rPr>
      </w:pPr>
    </w:p>
    <w:p w14:paraId="0F93DCA5" w14:textId="77777777" w:rsidR="00B2720C" w:rsidRDefault="00000000">
      <w:pPr>
        <w:jc w:val="both"/>
        <w:rPr>
          <w:rFonts w:ascii="Tahoma" w:eastAsia="Tahoma" w:hAnsi="Tahoma" w:cs="Tahoma"/>
          <w:sz w:val="20"/>
          <w:szCs w:val="20"/>
          <w:highlight w:val="white"/>
        </w:rPr>
      </w:pPr>
      <w:r>
        <w:rPr>
          <w:rFonts w:ascii="Tahoma" w:eastAsia="Tahoma" w:hAnsi="Tahoma" w:cs="Tahoma"/>
          <w:sz w:val="20"/>
          <w:szCs w:val="20"/>
          <w:highlight w:val="white"/>
        </w:rPr>
        <w:t xml:space="preserve">Established in 2011, Bakti Barito Foundation is the philanthropic arm of Barito Pacific Group, an integrated energy company with diversified entities such as Chandra Asri Group, Barito Renewables (a sub-holding company for Star Energy Geothermal), </w:t>
      </w:r>
      <w:proofErr w:type="spellStart"/>
      <w:r>
        <w:rPr>
          <w:rFonts w:ascii="Tahoma" w:eastAsia="Tahoma" w:hAnsi="Tahoma" w:cs="Tahoma"/>
          <w:sz w:val="20"/>
          <w:szCs w:val="20"/>
          <w:highlight w:val="white"/>
        </w:rPr>
        <w:t>Griya</w:t>
      </w:r>
      <w:proofErr w:type="spellEnd"/>
      <w:r>
        <w:rPr>
          <w:rFonts w:ascii="Tahoma" w:eastAsia="Tahoma" w:hAnsi="Tahoma" w:cs="Tahoma"/>
          <w:sz w:val="20"/>
          <w:szCs w:val="20"/>
          <w:highlight w:val="white"/>
        </w:rPr>
        <w:t xml:space="preserve"> Idola, </w:t>
      </w:r>
      <w:proofErr w:type="spellStart"/>
      <w:r>
        <w:rPr>
          <w:rFonts w:ascii="Tahoma" w:eastAsia="Tahoma" w:hAnsi="Tahoma" w:cs="Tahoma"/>
          <w:sz w:val="20"/>
          <w:szCs w:val="20"/>
          <w:highlight w:val="white"/>
        </w:rPr>
        <w:t>Petrindo</w:t>
      </w:r>
      <w:proofErr w:type="spellEnd"/>
      <w:r>
        <w:rPr>
          <w:rFonts w:ascii="Tahoma" w:eastAsia="Tahoma" w:hAnsi="Tahoma" w:cs="Tahoma"/>
          <w:sz w:val="20"/>
          <w:szCs w:val="20"/>
          <w:highlight w:val="white"/>
        </w:rPr>
        <w:t xml:space="preserve">, </w:t>
      </w:r>
      <w:proofErr w:type="spellStart"/>
      <w:r>
        <w:rPr>
          <w:rFonts w:ascii="Tahoma" w:eastAsia="Tahoma" w:hAnsi="Tahoma" w:cs="Tahoma"/>
          <w:sz w:val="20"/>
          <w:szCs w:val="20"/>
          <w:highlight w:val="white"/>
        </w:rPr>
        <w:t>Petrosea</w:t>
      </w:r>
      <w:proofErr w:type="spellEnd"/>
      <w:r>
        <w:rPr>
          <w:rFonts w:ascii="Tahoma" w:eastAsia="Tahoma" w:hAnsi="Tahoma" w:cs="Tahoma"/>
          <w:sz w:val="20"/>
          <w:szCs w:val="20"/>
          <w:highlight w:val="white"/>
        </w:rPr>
        <w:t xml:space="preserve"> and more. </w:t>
      </w:r>
    </w:p>
    <w:p w14:paraId="36846389" w14:textId="77777777" w:rsidR="00B2720C" w:rsidRDefault="00B2720C">
      <w:pPr>
        <w:jc w:val="both"/>
        <w:rPr>
          <w:rFonts w:ascii="Tahoma" w:eastAsia="Tahoma" w:hAnsi="Tahoma" w:cs="Tahoma"/>
          <w:sz w:val="20"/>
          <w:szCs w:val="20"/>
          <w:highlight w:val="white"/>
        </w:rPr>
      </w:pPr>
    </w:p>
    <w:p w14:paraId="0FEB3E16" w14:textId="77777777" w:rsidR="00B2720C" w:rsidRDefault="00000000">
      <w:pPr>
        <w:jc w:val="both"/>
        <w:rPr>
          <w:rFonts w:ascii="Tahoma" w:eastAsia="Tahoma" w:hAnsi="Tahoma" w:cs="Tahoma"/>
          <w:sz w:val="20"/>
          <w:szCs w:val="20"/>
          <w:highlight w:val="white"/>
        </w:rPr>
      </w:pPr>
      <w:r>
        <w:rPr>
          <w:rFonts w:ascii="Tahoma" w:eastAsia="Tahoma" w:hAnsi="Tahoma" w:cs="Tahoma"/>
          <w:sz w:val="20"/>
          <w:szCs w:val="20"/>
          <w:highlight w:val="white"/>
        </w:rPr>
        <w:lastRenderedPageBreak/>
        <w:t xml:space="preserve">Guided by the enduring commitment of our founders, </w:t>
      </w:r>
      <w:proofErr w:type="spellStart"/>
      <w:r>
        <w:rPr>
          <w:rFonts w:ascii="Tahoma" w:eastAsia="Tahoma" w:hAnsi="Tahoma" w:cs="Tahoma"/>
          <w:sz w:val="20"/>
          <w:szCs w:val="20"/>
          <w:highlight w:val="white"/>
        </w:rPr>
        <w:t>Prajogo</w:t>
      </w:r>
      <w:proofErr w:type="spellEnd"/>
      <w:r>
        <w:rPr>
          <w:rFonts w:ascii="Tahoma" w:eastAsia="Tahoma" w:hAnsi="Tahoma" w:cs="Tahoma"/>
          <w:sz w:val="20"/>
          <w:szCs w:val="20"/>
          <w:highlight w:val="white"/>
        </w:rPr>
        <w:t xml:space="preserve"> </w:t>
      </w:r>
      <w:proofErr w:type="spellStart"/>
      <w:r>
        <w:rPr>
          <w:rFonts w:ascii="Tahoma" w:eastAsia="Tahoma" w:hAnsi="Tahoma" w:cs="Tahoma"/>
          <w:sz w:val="20"/>
          <w:szCs w:val="20"/>
          <w:highlight w:val="white"/>
        </w:rPr>
        <w:t>Pangestu</w:t>
      </w:r>
      <w:proofErr w:type="spellEnd"/>
      <w:r>
        <w:rPr>
          <w:rFonts w:ascii="Tahoma" w:eastAsia="Tahoma" w:hAnsi="Tahoma" w:cs="Tahoma"/>
          <w:sz w:val="20"/>
          <w:szCs w:val="20"/>
          <w:highlight w:val="white"/>
        </w:rPr>
        <w:t xml:space="preserve"> and his wife </w:t>
      </w:r>
      <w:proofErr w:type="spellStart"/>
      <w:r>
        <w:rPr>
          <w:rFonts w:ascii="Tahoma" w:eastAsia="Tahoma" w:hAnsi="Tahoma" w:cs="Tahoma"/>
          <w:sz w:val="20"/>
          <w:szCs w:val="20"/>
          <w:highlight w:val="white"/>
        </w:rPr>
        <w:t>Harlina</w:t>
      </w:r>
      <w:proofErr w:type="spellEnd"/>
      <w:r>
        <w:rPr>
          <w:rFonts w:ascii="Tahoma" w:eastAsia="Tahoma" w:hAnsi="Tahoma" w:cs="Tahoma"/>
          <w:sz w:val="20"/>
          <w:szCs w:val="20"/>
          <w:highlight w:val="white"/>
        </w:rPr>
        <w:t xml:space="preserve"> </w:t>
      </w:r>
      <w:proofErr w:type="spellStart"/>
      <w:r>
        <w:rPr>
          <w:rFonts w:ascii="Tahoma" w:eastAsia="Tahoma" w:hAnsi="Tahoma" w:cs="Tahoma"/>
          <w:sz w:val="20"/>
          <w:szCs w:val="20"/>
          <w:highlight w:val="white"/>
        </w:rPr>
        <w:t>Tjandinegara</w:t>
      </w:r>
      <w:proofErr w:type="spellEnd"/>
      <w:r>
        <w:rPr>
          <w:rFonts w:ascii="Tahoma" w:eastAsia="Tahoma" w:hAnsi="Tahoma" w:cs="Tahoma"/>
          <w:sz w:val="20"/>
          <w:szCs w:val="20"/>
          <w:highlight w:val="white"/>
        </w:rPr>
        <w:t xml:space="preserve">, the foundation is dedicated to addressing Indonesia's environmental and educational challenges through collaborative initiatives with our partners and the communities we serve. For more information, please visit </w:t>
      </w:r>
      <w:hyperlink r:id="rId9">
        <w:r>
          <w:rPr>
            <w:rFonts w:ascii="Tahoma" w:eastAsia="Tahoma" w:hAnsi="Tahoma" w:cs="Tahoma"/>
            <w:color w:val="1155CC"/>
            <w:sz w:val="20"/>
            <w:szCs w:val="20"/>
            <w:highlight w:val="white"/>
            <w:u w:val="single"/>
          </w:rPr>
          <w:t>baktibarito.com</w:t>
        </w:r>
      </w:hyperlink>
      <w:r>
        <w:rPr>
          <w:rFonts w:ascii="Tahoma" w:eastAsia="Tahoma" w:hAnsi="Tahoma" w:cs="Tahoma"/>
          <w:sz w:val="20"/>
          <w:szCs w:val="20"/>
          <w:highlight w:val="white"/>
        </w:rPr>
        <w:t xml:space="preserve">, or follow us on </w:t>
      </w:r>
      <w:hyperlink r:id="rId10">
        <w:r>
          <w:rPr>
            <w:rFonts w:ascii="Tahoma" w:eastAsia="Tahoma" w:hAnsi="Tahoma" w:cs="Tahoma"/>
            <w:color w:val="1155CC"/>
            <w:sz w:val="20"/>
            <w:szCs w:val="20"/>
            <w:highlight w:val="white"/>
            <w:u w:val="single"/>
          </w:rPr>
          <w:t>Instagram</w:t>
        </w:r>
      </w:hyperlink>
      <w:r>
        <w:rPr>
          <w:rFonts w:ascii="Tahoma" w:eastAsia="Tahoma" w:hAnsi="Tahoma" w:cs="Tahoma"/>
          <w:sz w:val="20"/>
          <w:szCs w:val="20"/>
          <w:highlight w:val="white"/>
        </w:rPr>
        <w:t xml:space="preserve">, </w:t>
      </w:r>
      <w:hyperlink r:id="rId11">
        <w:r>
          <w:rPr>
            <w:rFonts w:ascii="Tahoma" w:eastAsia="Tahoma" w:hAnsi="Tahoma" w:cs="Tahoma"/>
            <w:color w:val="1155CC"/>
            <w:sz w:val="20"/>
            <w:szCs w:val="20"/>
            <w:highlight w:val="white"/>
            <w:u w:val="single"/>
          </w:rPr>
          <w:t>LinkedIn</w:t>
        </w:r>
      </w:hyperlink>
      <w:r>
        <w:rPr>
          <w:rFonts w:ascii="Tahoma" w:eastAsia="Tahoma" w:hAnsi="Tahoma" w:cs="Tahoma"/>
          <w:sz w:val="20"/>
          <w:szCs w:val="20"/>
          <w:highlight w:val="white"/>
        </w:rPr>
        <w:t xml:space="preserve">, </w:t>
      </w:r>
      <w:hyperlink r:id="rId12">
        <w:r>
          <w:rPr>
            <w:rFonts w:ascii="Tahoma" w:eastAsia="Tahoma" w:hAnsi="Tahoma" w:cs="Tahoma"/>
            <w:color w:val="1155CC"/>
            <w:sz w:val="20"/>
            <w:szCs w:val="20"/>
            <w:highlight w:val="white"/>
            <w:u w:val="single"/>
          </w:rPr>
          <w:t>Facebook</w:t>
        </w:r>
      </w:hyperlink>
      <w:r>
        <w:rPr>
          <w:rFonts w:ascii="Tahoma" w:eastAsia="Tahoma" w:hAnsi="Tahoma" w:cs="Tahoma"/>
          <w:sz w:val="20"/>
          <w:szCs w:val="20"/>
          <w:highlight w:val="white"/>
        </w:rPr>
        <w:t xml:space="preserve">, </w:t>
      </w:r>
      <w:hyperlink r:id="rId13">
        <w:r>
          <w:rPr>
            <w:rFonts w:ascii="Tahoma" w:eastAsia="Tahoma" w:hAnsi="Tahoma" w:cs="Tahoma"/>
            <w:color w:val="1155CC"/>
            <w:sz w:val="20"/>
            <w:szCs w:val="20"/>
            <w:highlight w:val="white"/>
            <w:u w:val="single"/>
          </w:rPr>
          <w:t>YouTube</w:t>
        </w:r>
      </w:hyperlink>
      <w:r>
        <w:rPr>
          <w:rFonts w:ascii="Tahoma" w:eastAsia="Tahoma" w:hAnsi="Tahoma" w:cs="Tahoma"/>
          <w:sz w:val="20"/>
          <w:szCs w:val="20"/>
          <w:highlight w:val="white"/>
        </w:rPr>
        <w:t xml:space="preserve">, and </w:t>
      </w:r>
      <w:hyperlink r:id="rId14">
        <w:r>
          <w:rPr>
            <w:rFonts w:ascii="Tahoma" w:eastAsia="Tahoma" w:hAnsi="Tahoma" w:cs="Tahoma"/>
            <w:color w:val="1155CC"/>
            <w:sz w:val="20"/>
            <w:szCs w:val="20"/>
            <w:highlight w:val="white"/>
            <w:u w:val="single"/>
          </w:rPr>
          <w:t>X</w:t>
        </w:r>
      </w:hyperlink>
      <w:r>
        <w:rPr>
          <w:rFonts w:ascii="Tahoma" w:eastAsia="Tahoma" w:hAnsi="Tahoma" w:cs="Tahoma"/>
          <w:sz w:val="20"/>
          <w:szCs w:val="20"/>
          <w:highlight w:val="white"/>
        </w:rPr>
        <w:t>.</w:t>
      </w:r>
    </w:p>
    <w:p w14:paraId="4EB99820" w14:textId="77777777" w:rsidR="00B2720C" w:rsidRDefault="00B2720C">
      <w:pPr>
        <w:jc w:val="both"/>
        <w:rPr>
          <w:rFonts w:ascii="Tahoma" w:eastAsia="Tahoma" w:hAnsi="Tahoma" w:cs="Tahoma"/>
          <w:sz w:val="20"/>
          <w:szCs w:val="20"/>
          <w:highlight w:val="white"/>
        </w:rPr>
      </w:pPr>
    </w:p>
    <w:p w14:paraId="410DDE10" w14:textId="77777777" w:rsidR="00B2720C" w:rsidRDefault="00000000">
      <w:pPr>
        <w:rPr>
          <w:rFonts w:ascii="Tahoma" w:eastAsia="Tahoma" w:hAnsi="Tahoma" w:cs="Tahoma"/>
          <w:sz w:val="20"/>
          <w:szCs w:val="20"/>
        </w:rPr>
      </w:pPr>
      <w:r>
        <w:rPr>
          <w:rFonts w:ascii="Tahoma" w:eastAsia="Tahoma" w:hAnsi="Tahoma" w:cs="Tahoma"/>
          <w:sz w:val="20"/>
          <w:szCs w:val="20"/>
          <w:highlight w:val="white"/>
        </w:rPr>
        <w:t xml:space="preserve">Media contact: </w:t>
      </w:r>
      <w:hyperlink r:id="rId15">
        <w:r>
          <w:rPr>
            <w:rFonts w:ascii="Tahoma" w:eastAsia="Tahoma" w:hAnsi="Tahoma" w:cs="Tahoma"/>
            <w:color w:val="1155CC"/>
            <w:sz w:val="20"/>
            <w:szCs w:val="20"/>
            <w:highlight w:val="white"/>
            <w:u w:val="single"/>
          </w:rPr>
          <w:t>info@baktibarito.com</w:t>
        </w:r>
      </w:hyperlink>
    </w:p>
    <w:p w14:paraId="4C0CEEDE" w14:textId="77777777" w:rsidR="00B2720C" w:rsidRDefault="00B2720C">
      <w:pPr>
        <w:rPr>
          <w:rFonts w:ascii="Tahoma" w:eastAsia="Tahoma" w:hAnsi="Tahoma" w:cs="Tahoma"/>
          <w:sz w:val="20"/>
          <w:szCs w:val="20"/>
        </w:rPr>
      </w:pPr>
    </w:p>
    <w:p w14:paraId="2734996F" w14:textId="77777777" w:rsidR="00B2720C" w:rsidRDefault="00000000">
      <w:pPr>
        <w:rPr>
          <w:rFonts w:ascii="Tahoma" w:eastAsia="Tahoma" w:hAnsi="Tahoma" w:cs="Tahoma"/>
          <w:sz w:val="20"/>
          <w:szCs w:val="20"/>
        </w:rPr>
      </w:pPr>
      <w:r>
        <w:rPr>
          <w:rFonts w:ascii="Tahoma" w:eastAsia="Tahoma" w:hAnsi="Tahoma" w:cs="Tahoma"/>
          <w:sz w:val="20"/>
          <w:szCs w:val="20"/>
        </w:rPr>
        <w:t>###</w:t>
      </w:r>
    </w:p>
    <w:p w14:paraId="27EF088C" w14:textId="77777777" w:rsidR="00B2720C" w:rsidRDefault="00B2720C">
      <w:pPr>
        <w:rPr>
          <w:rFonts w:ascii="Tahoma" w:eastAsia="Tahoma" w:hAnsi="Tahoma" w:cs="Tahoma"/>
          <w:sz w:val="20"/>
          <w:szCs w:val="20"/>
        </w:rPr>
      </w:pPr>
    </w:p>
    <w:p w14:paraId="155BA8DD" w14:textId="22AE316E" w:rsidR="00B2720C" w:rsidRDefault="00B2720C">
      <w:pPr>
        <w:rPr>
          <w:rFonts w:ascii="Tahoma" w:eastAsia="Tahoma" w:hAnsi="Tahoma" w:cs="Tahoma"/>
          <w:sz w:val="20"/>
          <w:szCs w:val="20"/>
          <w:highlight w:val="white"/>
        </w:rPr>
      </w:pPr>
    </w:p>
    <w:sectPr w:rsidR="00B2720C">
      <w:headerReference w:type="default" r:id="rId16"/>
      <w:pgSz w:w="12240" w:h="15840"/>
      <w:pgMar w:top="225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7FA3C" w14:textId="77777777" w:rsidR="00F46DFE" w:rsidRDefault="00F46DFE">
      <w:pPr>
        <w:spacing w:line="240" w:lineRule="auto"/>
      </w:pPr>
      <w:r>
        <w:separator/>
      </w:r>
    </w:p>
  </w:endnote>
  <w:endnote w:type="continuationSeparator" w:id="0">
    <w:p w14:paraId="2FD59127" w14:textId="77777777" w:rsidR="00F46DFE" w:rsidRDefault="00F46D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F18EB88-EE8E-459A-9349-2EF3C3578510}"/>
    <w:embedBold r:id="rId2" w:fontKey="{698225DE-E52A-4CFA-8559-BEC79B6C29BB}"/>
  </w:font>
  <w:font w:name="Calibri">
    <w:panose1 w:val="020F0502020204030204"/>
    <w:charset w:val="00"/>
    <w:family w:val="swiss"/>
    <w:pitch w:val="variable"/>
    <w:sig w:usb0="E4002EFF" w:usb1="C200247B" w:usb2="00000009" w:usb3="00000000" w:csb0="000001FF" w:csb1="00000000"/>
    <w:embedRegular r:id="rId3" w:fontKey="{CA17CB8C-4F45-4BEB-9EA6-96B3925D4487}"/>
  </w:font>
  <w:font w:name="Cambria">
    <w:panose1 w:val="02040503050406030204"/>
    <w:charset w:val="00"/>
    <w:family w:val="roman"/>
    <w:pitch w:val="variable"/>
    <w:sig w:usb0="E00006FF" w:usb1="420024FF" w:usb2="02000000" w:usb3="00000000" w:csb0="0000019F" w:csb1="00000000"/>
    <w:embedRegular r:id="rId4" w:fontKey="{B0B23D95-9885-48D5-88AC-09BED2C6D2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A81A3" w14:textId="77777777" w:rsidR="00F46DFE" w:rsidRDefault="00F46DFE">
      <w:pPr>
        <w:spacing w:line="240" w:lineRule="auto"/>
      </w:pPr>
      <w:r>
        <w:separator/>
      </w:r>
    </w:p>
  </w:footnote>
  <w:footnote w:type="continuationSeparator" w:id="0">
    <w:p w14:paraId="2792BF6C" w14:textId="77777777" w:rsidR="00F46DFE" w:rsidRDefault="00F46DFE">
      <w:pPr>
        <w:spacing w:line="240" w:lineRule="auto"/>
      </w:pPr>
      <w:r>
        <w:continuationSeparator/>
      </w:r>
    </w:p>
  </w:footnote>
  <w:footnote w:id="1">
    <w:p w14:paraId="1AE6385E" w14:textId="77777777" w:rsidR="00B2720C" w:rsidRDefault="00000000">
      <w:pPr>
        <w:spacing w:line="240" w:lineRule="auto"/>
        <w:rPr>
          <w:rFonts w:ascii="Tahoma" w:eastAsia="Tahoma" w:hAnsi="Tahoma" w:cs="Tahoma"/>
          <w:sz w:val="16"/>
          <w:szCs w:val="16"/>
        </w:rPr>
      </w:pPr>
      <w:r>
        <w:rPr>
          <w:vertAlign w:val="superscript"/>
        </w:rPr>
        <w:footnoteRef/>
      </w:r>
      <w:r>
        <w:rPr>
          <w:sz w:val="20"/>
          <w:szCs w:val="20"/>
        </w:rPr>
        <w:t xml:space="preserve"> </w:t>
      </w:r>
      <w:r>
        <w:rPr>
          <w:rFonts w:ascii="Tahoma" w:eastAsia="Tahoma" w:hAnsi="Tahoma" w:cs="Tahoma"/>
          <w:sz w:val="16"/>
          <w:szCs w:val="16"/>
        </w:rPr>
        <w:t>Khalifany-Ash Shidiqi, Antonio Di Paolo, Álvaro Choi, Earthquake exposure and schooling: Impacts and mechanisms (</w:t>
      </w:r>
      <w:hyperlink r:id="rId1">
        <w:r>
          <w:rPr>
            <w:rFonts w:ascii="Tahoma" w:eastAsia="Tahoma" w:hAnsi="Tahoma" w:cs="Tahoma"/>
            <w:color w:val="1155CC"/>
            <w:sz w:val="16"/>
            <w:szCs w:val="16"/>
            <w:u w:val="single"/>
          </w:rPr>
          <w:t>https://www.sciencedirect.com/science/article/pii/S0272775723000444</w:t>
        </w:r>
      </w:hyperlink>
      <w:r>
        <w:rPr>
          <w:rFonts w:ascii="Tahoma" w:eastAsia="Tahoma" w:hAnsi="Tahoma" w:cs="Tahom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EEB98" w14:textId="77777777" w:rsidR="00B2720C" w:rsidRDefault="00000000">
    <w:r>
      <w:rPr>
        <w:noProof/>
      </w:rPr>
      <w:drawing>
        <wp:anchor distT="114300" distB="114300" distL="114300" distR="114300" simplePos="0" relativeHeight="251658240" behindDoc="0" locked="0" layoutInCell="1" hidden="0" allowOverlap="1" wp14:anchorId="0AE55802" wp14:editId="1B6E040B">
          <wp:simplePos x="0" y="0"/>
          <wp:positionH relativeFrom="column">
            <wp:posOffset>-66674</wp:posOffset>
          </wp:positionH>
          <wp:positionV relativeFrom="paragraph">
            <wp:posOffset>247650</wp:posOffset>
          </wp:positionV>
          <wp:extent cx="1700213" cy="2191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00213" cy="2191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69DE020" wp14:editId="51AC2C6D">
          <wp:simplePos x="0" y="0"/>
          <wp:positionH relativeFrom="column">
            <wp:posOffset>4689158</wp:posOffset>
          </wp:positionH>
          <wp:positionV relativeFrom="paragraph">
            <wp:posOffset>85726</wp:posOffset>
          </wp:positionV>
          <wp:extent cx="1330643" cy="5238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30643" cy="5238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53134A7" wp14:editId="5BBDC973">
          <wp:simplePos x="0" y="0"/>
          <wp:positionH relativeFrom="column">
            <wp:posOffset>2409825</wp:posOffset>
          </wp:positionH>
          <wp:positionV relativeFrom="paragraph">
            <wp:posOffset>133350</wp:posOffset>
          </wp:positionV>
          <wp:extent cx="1428750" cy="479208"/>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428750" cy="47920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8E70D9"/>
    <w:multiLevelType w:val="multilevel"/>
    <w:tmpl w:val="10027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39444A"/>
    <w:multiLevelType w:val="multilevel"/>
    <w:tmpl w:val="27E85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1120451">
    <w:abstractNumId w:val="1"/>
  </w:num>
  <w:num w:numId="2" w16cid:durableId="180970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20C"/>
    <w:rsid w:val="00B2720C"/>
    <w:rsid w:val="00B872D6"/>
    <w:rsid w:val="00CF43D7"/>
    <w:rsid w:val="00F46DF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992E"/>
  <w15:docId w15:val="{4E0BC18E-BBE5-4DFB-A098-8908E4CD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kitabisa.org/" TargetMode="External"/><Relationship Id="rId13" Type="http://schemas.openxmlformats.org/officeDocument/2006/relationships/hyperlink" Target="https://www.youtube.com/@baktibarit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kitabisa.com/bangunsekolahhijau" TargetMode="External"/><Relationship Id="rId12" Type="http://schemas.openxmlformats.org/officeDocument/2006/relationships/hyperlink" Target="https://www.facebook.com/yayasanbaktibarit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company/baktibarito" TargetMode="External"/><Relationship Id="rId5" Type="http://schemas.openxmlformats.org/officeDocument/2006/relationships/footnotes" Target="footnotes.xml"/><Relationship Id="rId15" Type="http://schemas.openxmlformats.org/officeDocument/2006/relationships/hyperlink" Target="mailto:info@baktibarito.com" TargetMode="External"/><Relationship Id="rId10" Type="http://schemas.openxmlformats.org/officeDocument/2006/relationships/hyperlink" Target="https://www.instagram.com/baktibarito/" TargetMode="External"/><Relationship Id="rId4" Type="http://schemas.openxmlformats.org/officeDocument/2006/relationships/webSettings" Target="webSettings.xml"/><Relationship Id="rId9" Type="http://schemas.openxmlformats.org/officeDocument/2006/relationships/hyperlink" Target="http://baktibarito.com" TargetMode="External"/><Relationship Id="rId14" Type="http://schemas.openxmlformats.org/officeDocument/2006/relationships/hyperlink" Target="https://x.com/baktibarit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sciencedirect.com/science/article/pii/S027277572300044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954</Words>
  <Characters>5442</Characters>
  <Application>Microsoft Office Word</Application>
  <DocSecurity>0</DocSecurity>
  <Lines>45</Lines>
  <Paragraphs>12</Paragraphs>
  <ScaleCrop>false</ScaleCrop>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 Cornelia Sumendap</dc:creator>
  <cp:lastModifiedBy>Angelin Cornelia Sumendap</cp:lastModifiedBy>
  <cp:revision>2</cp:revision>
  <dcterms:created xsi:type="dcterms:W3CDTF">2024-10-11T06:46:00Z</dcterms:created>
  <dcterms:modified xsi:type="dcterms:W3CDTF">2024-10-11T06:46:00Z</dcterms:modified>
</cp:coreProperties>
</file>